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Отчет о п</w:t>
      </w:r>
      <w:r>
        <w:t xml:space="preserve">р</w:t>
      </w:r>
      <w:r>
        <w:t xml:space="preserve">оведении документальной проверки финансово- хозяйственной деятельности в СНТ«Академическое» за период с 1.01.2025г по 31.12.2025г.</w:t>
      </w:r>
      <w:r/>
    </w:p>
    <w:p>
      <w:r>
        <w:t xml:space="preserve">В ходе настоящей ревизии проведены следующие контрольные мероприятия: </w:t>
      </w:r>
      <w:r/>
    </w:p>
    <w:p>
      <w:r>
        <w:t xml:space="preserve">1.Анализ состояния документации и документооборота. </w:t>
      </w:r>
      <w:r/>
    </w:p>
    <w:p>
      <w:r>
        <w:t xml:space="preserve">2. Анализ ведения учета.</w:t>
      </w:r>
      <w:r/>
    </w:p>
    <w:p>
      <w:r>
        <w:t xml:space="preserve"> 3. Анализ приходно-расходной сметы, контроль исполнения сметы. </w:t>
      </w:r>
      <w:r/>
    </w:p>
    <w:p>
      <w:r>
        <w:t xml:space="preserve">4. Анализ движения денежных средств. </w:t>
      </w:r>
      <w:r/>
    </w:p>
    <w:p>
      <w:r>
        <w:t xml:space="preserve">5. Анализ расчетов с поставщиками и подрядчиками, с самозанятыми лицами.</w:t>
      </w:r>
      <w:r/>
    </w:p>
    <w:p>
      <w:r>
        <w:t xml:space="preserve"> 6. Анализ начислений и выплаты заработной платы.</w:t>
      </w:r>
      <w:r/>
    </w:p>
    <w:p>
      <w:r>
        <w:t xml:space="preserve">7. Проверка задолженности членов</w:t>
      </w:r>
      <w:r>
        <w:t xml:space="preserve"> СНК</w:t>
      </w:r>
      <w:r>
        <w:t xml:space="preserve"> и правообладателей земельных участков в границах</w:t>
      </w:r>
      <w:r>
        <w:t xml:space="preserve"> СНК</w:t>
      </w:r>
      <w:r>
        <w:t xml:space="preserve">: - по членским и целевым взносам. </w:t>
      </w:r>
      <w:r/>
    </w:p>
    <w:p>
      <w:r>
        <w:t xml:space="preserve">8. Проверка полноты и своевременности уплаты налогов и обязательных платежей, расчетов и деклараций по налогам и сборам.</w:t>
      </w:r>
      <w:r/>
    </w:p>
    <w:p>
      <w:r>
        <w:t xml:space="preserve">Общий остаток средств на расчетном счете 1.01.2025г составил 601861,79 руб.</w:t>
      </w:r>
      <w:r/>
    </w:p>
    <w:p>
      <w:r>
        <w:t xml:space="preserve">Всего средств за отчетный период поступило 10234426,03  руб</w:t>
      </w:r>
      <w:r>
        <w:t xml:space="preserve">.</w:t>
      </w:r>
      <w:r/>
    </w:p>
    <w:p>
      <w:r>
        <w:t xml:space="preserve">Из них оплата электроэнергии 1526945,92 руб.</w:t>
      </w:r>
      <w:r/>
    </w:p>
    <w:p>
      <w:pPr>
        <w:rPr>
          <w:highlight w:val="none"/>
        </w:rPr>
      </w:pPr>
      <w:r>
        <w:t xml:space="preserve">целевой взнос 2992238  руб.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t xml:space="preserve">членские взносы за 2025 год 3846762 руб.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Долги по членским взносам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 -845782,01 руб. за 2024год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-218617,48 руб. за 2023 год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129412,25 руб. за 2022 год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95380,13 руб. за 2021 год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260385,24 руб. долги прошлых лет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14021,83 руб. переплата за взносы на 2026 год.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57500 руб. за модернизацию водопровода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30300 руб. благотворительные взносы на субботник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134000 руб. покупка труб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28081,17 руб. взыскание госпошлин по суду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55000 руб. возвраты от поставщиков услуг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Всего долгов собрано 1607077,11 руб.</w:t>
      </w:r>
      <w:r>
        <w:rPr>
          <w:highlight w:val="none"/>
        </w:rPr>
      </w:r>
      <w:r>
        <w:rPr>
          <w:highlight w:val="none"/>
        </w:rPr>
      </w:r>
    </w:p>
    <w:p>
      <w:r>
        <w:t xml:space="preserve">Всего расходов за отчетный период 10329669,71 руб.</w:t>
      </w:r>
      <w:r/>
    </w:p>
    <w:p>
      <w:r>
        <w:t xml:space="preserve">Из них:</w:t>
      </w:r>
      <w:r/>
    </w:p>
    <w:p>
      <w:pPr>
        <w:rPr>
          <w:highlight w:val="none"/>
        </w:rPr>
      </w:pPr>
      <w:r>
        <w:t xml:space="preserve">-налоги 1064967,55 руб.</w:t>
      </w:r>
      <w:r>
        <w:t xml:space="preserve"> (в том числе </w:t>
      </w:r>
      <w:r>
        <w:t xml:space="preserve">подоходний</w:t>
      </w:r>
      <w:r>
        <w:t xml:space="preserve"> и земельный налоги</w:t>
      </w:r>
      <w:r>
        <w:t xml:space="preserve">,</w:t>
      </w:r>
      <w:r>
        <w:t xml:space="preserve"> страховые взносы, оплата гос организациям)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  <w:lang w:val="ru-RU"/>
        </w:rPr>
        <w:t xml:space="preserve">-бухгалтерские услуги 280324 руб.</w:t>
      </w:r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  <w:lang w:val="ru-RU"/>
        </w:rPr>
        <w:t xml:space="preserve">-юридические услуги, в том числе оплата судебных расходов 253080 руб.</w:t>
      </w:r>
      <w:r>
        <w:rPr>
          <w:highlight w:val="none"/>
          <w:lang w:val="ru-RU"/>
        </w:rPr>
      </w:r>
      <w:r/>
    </w:p>
    <w:p>
      <w:r>
        <w:t xml:space="preserve">-оплата электроэнергии 2341538,05 руб.</w:t>
      </w:r>
      <w:r/>
    </w:p>
    <w:p>
      <w:r>
        <w:t xml:space="preserve">-оплата за вывоз мусора 530430  руб. в том числе  по договору подряда за вывоз мусора по улицам в летний период.</w:t>
      </w:r>
      <w:r/>
    </w:p>
    <w:p>
      <w:r>
        <w:t xml:space="preserve">-услуги банка 38905,47  руб</w:t>
      </w:r>
      <w:r>
        <w:t xml:space="preserve">.</w:t>
      </w:r>
      <w:r/>
    </w:p>
    <w:p>
      <w:r>
        <w:t xml:space="preserve">-мобильная связь  1000  руб.</w:t>
      </w:r>
      <w:r/>
    </w:p>
    <w:p>
      <w:r>
        <w:t xml:space="preserve">-компенсация за использование личного транспорта 50395,20  руб.</w:t>
      </w:r>
      <w:r>
        <w:t xml:space="preserve"> Бензин. </w:t>
      </w:r>
      <w:r/>
    </w:p>
    <w:p>
      <w:r>
        <w:t xml:space="preserve">-закупка материалов 1916164,23 руб.</w:t>
      </w:r>
      <w:r/>
    </w:p>
    <w:p>
      <w:r>
        <w:t xml:space="preserve">-деньги, взятые под отчет 76989,20 руб., которые были израсходованы на закупку материалов кассовые чеки, счет фактуры на эту сумму предоставлены. </w:t>
      </w:r>
      <w:r/>
    </w:p>
    <w:p>
      <w:r>
        <w:t xml:space="preserve">-Оплата услуг организациям и самозанятым лицам по договорам подряда 2030150  руб.</w:t>
      </w:r>
      <w:r/>
    </w:p>
    <w:p>
      <w:pPr>
        <w:rPr>
          <w:highlight w:val="none"/>
        </w:rPr>
      </w:pPr>
      <w:r>
        <w:t xml:space="preserve">-выплата заработной платы, согласно шт</w:t>
      </w:r>
      <w:r>
        <w:t xml:space="preserve">атному расписанию 1726626,01 руб.</w:t>
      </w:r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  <w:lang w:val="ru-RU"/>
        </w:rPr>
        <w:t xml:space="preserve">-возврат переплат 8100 руб.</w:t>
      </w:r>
      <w:r>
        <w:rPr>
          <w:highlight w:val="none"/>
          <w:lang w:val="ru-RU"/>
        </w:rPr>
      </w:r>
      <w:r/>
    </w:p>
    <w:p>
      <w:r>
        <w:t xml:space="preserve">По состоянию на 1</w:t>
      </w:r>
      <w:r>
        <w:t xml:space="preserve">.01.2026г на расчетном счете остаток средств составил 506618,11</w:t>
      </w:r>
      <w:r>
        <w:t xml:space="preserve"> руб</w:t>
      </w:r>
      <w:r/>
    </w:p>
    <w:p>
      <w:r>
        <w:t xml:space="preserve"> </w:t>
      </w:r>
      <w:r>
        <w:t xml:space="preserve">1.Состояние документации и документооборота Ревизионной комиссии для анализа были представлены следующие документы, регулирующие финансово-хозяйственную деятельность </w:t>
      </w:r>
      <w:r>
        <w:t xml:space="preserve">СНТ</w:t>
      </w:r>
      <w:r>
        <w:t xml:space="preserve">: 1. Реестр членов </w:t>
      </w:r>
      <w:r>
        <w:t xml:space="preserve">СНТ</w:t>
      </w:r>
      <w:r>
        <w:t xml:space="preserve"> по состоянию на31.12</w:t>
      </w:r>
      <w:r>
        <w:t xml:space="preserve">.2025г.; 2. Реестр садоводов, ведущих садоводство на земельных участках, расположенных в границах территории садоводства, без участия в </w:t>
      </w:r>
      <w:r>
        <w:t xml:space="preserve">СНТ </w:t>
      </w:r>
      <w:r>
        <w:t xml:space="preserve"> по состоянию на31.12.2025г.; 3. Смета доходов и расходов; 4. Банковские документы (выписки банка, платежные поручения, реестры платежей и т.д.); 5. Кадровые документы (заявления, трудовые договора, приказы, личные карт</w:t>
      </w:r>
      <w:r>
        <w:t xml:space="preserve">очки и т.д.); 6. Документы по расчетам заработной платы сотрудников (штатное расписание, расчетные листки, ведомости в банк, и т.д.), договоры с самозанятыми лицами; 7. Документы по расчетам с контрагентами (договора, счета, накладные, акты выполненных раб</w:t>
      </w:r>
      <w:r>
        <w:t xml:space="preserve">от, акты сверки и т.д.); 8. Оборотно-сальдовые ведомости; 9. Протокол Общего собрания за 2024 год с приложением акта счетной комиссии, бюллетеней, реестра регистрации садоводов, реестра регистрации выданных бюллетеней; 10. Протоколы заседаний правления за </w:t>
      </w:r>
      <w:r>
        <w:t xml:space="preserve">2024</w:t>
      </w:r>
      <w:r>
        <w:t xml:space="preserve"> год; 11. Приказы по основной деятельности; 13.Регистрационные журналы входяще</w:t>
      </w:r>
      <w:r>
        <w:t xml:space="preserve">й и исходящей документации, в том числе заявлений садоводов; 14. Прочие документы. Проверкой документооборота установлено, за анализируемый период используются документы внутреннего регламента, регулирующие правовые, финансовые и хозяйственные отношения в </w:t>
      </w:r>
      <w:r>
        <w:t xml:space="preserve">СНТ.</w:t>
      </w:r>
      <w:r>
        <w:t xml:space="preserve"> </w:t>
      </w:r>
      <w:r/>
    </w:p>
    <w:p>
      <w:r/>
      <w:r/>
    </w:p>
    <w:p>
      <w:r>
        <w:t xml:space="preserve">2.Ведение учета. Бухгалтерский учет  ведется автоматизировано в информационной системе. Ответственным за ведение бухгалтерского учета </w:t>
      </w:r>
      <w:r>
        <w:t xml:space="preserve">в данный период была бухгалтер, нанятая по договору оказания услуг как самозанятое лицо.</w:t>
      </w:r>
      <w:r>
        <w:t xml:space="preserve"> Оформление документов, отчетности, ведение бухгалтерского учета производится в электронном виде, с применением специализированной </w:t>
      </w:r>
      <w:r>
        <w:t xml:space="preserve">бухгалтерской программы 1.С: «Садовод». Документация, предоставленная к проверке, соответствует правилам ведения бухгалтерского учета. Поступившие в проверяемом периоде на расчетный с</w:t>
      </w:r>
      <w:r>
        <w:t xml:space="preserve">чет от садоводов Товарищества и садоводов, ведущих деятельность вне участия в Товариществе денежные средства в счет оплаты членских и целевых взносов, возмещение расходов за потребленную электроэнергию и прочие поступления в полном объеме отражены в учете.</w:t>
      </w:r>
      <w:r/>
    </w:p>
    <w:p>
      <w:r>
        <w:t xml:space="preserve">3.</w:t>
      </w:r>
      <w:r>
        <w:t xml:space="preserve"> </w:t>
      </w:r>
      <w:r>
        <w:t xml:space="preserve">Ревизором не выявлены факты, свидетельствующие о нецелевом расходовании денежных средств, поступивших от садоводов.</w:t>
      </w:r>
      <w:r/>
    </w:p>
    <w:p>
      <w:r/>
      <w:r/>
    </w:p>
    <w:p>
      <w:r>
        <w:t xml:space="preserve">4.</w:t>
      </w:r>
      <w:r>
        <w:t xml:space="preserve"> </w:t>
      </w:r>
      <w:r>
        <w:t xml:space="preserve">В результате проведенной ревизии денежных средств ревизорами не выявлено расхождений между фактическим наличием денежных средств на расчетном счете (подтверждено выпиской банка на 31.12</w:t>
      </w:r>
      <w:r>
        <w:t xml:space="preserve">.2025г.) и данными бухгалтерского учета. Операции по расчетному счету своевременно отражаются в учете</w:t>
      </w:r>
      <w:r>
        <w:t xml:space="preserve">. Наличные денежные средства в кассе </w:t>
      </w:r>
      <w:r>
        <w:t xml:space="preserve">СНТ</w:t>
      </w:r>
      <w:r>
        <w:t xml:space="preserve"> отсутствуют, все операции осуществляются через расчетный счет </w:t>
      </w:r>
      <w:r>
        <w:t xml:space="preserve">СНТ</w:t>
      </w:r>
      <w:r>
        <w:t xml:space="preserve">. Авансовые отчеты оформляются своевременно и соответствуют требованиям установленным законодательством РФ, документы подтверждающие расходы представлены в полном объеме.</w:t>
      </w:r>
      <w:r/>
    </w:p>
    <w:p>
      <w:r/>
      <w:r/>
    </w:p>
    <w:p>
      <w:r>
        <w:t xml:space="preserve">5.</w:t>
      </w:r>
      <w:r>
        <w:t xml:space="preserve"> </w:t>
      </w:r>
      <w:r>
        <w:t xml:space="preserve">Выплаченные в проверяемом периоде п</w:t>
      </w:r>
      <w:r>
        <w:t xml:space="preserve">оставщикам ресурсов и самозанятым лицам оказывающих услуги суммы документально подтверждены. Выставленные в адрес СНТ акты об оказанных услугах и выполненных работах, а также накладные на передачу материальных ценностей подписаны обеими сторонами договора.</w:t>
      </w:r>
      <w:r/>
    </w:p>
    <w:p>
      <w:r/>
      <w:r/>
    </w:p>
    <w:p>
      <w:r>
        <w:t xml:space="preserve">6. Анализ начислений и выплаты заработной платы. Все первичные документы по начислению заработной платы - ведомости начисления, записки-расчеты, карточки индивидуальног</w:t>
      </w:r>
      <w:r>
        <w:t xml:space="preserve">о учета страховых взносов, налоговые карточки по учету налогов, ведутся в соответствии с ТК РФ. Начисление заработной платы осуществляется на основании данных табелей учета рабочего времени. Выплата заработной платы работникам подтверждена выписками банка.</w:t>
      </w:r>
      <w:r/>
    </w:p>
    <w:p>
      <w:r/>
      <w:r/>
    </w:p>
    <w:p>
      <w:r>
        <w:t xml:space="preserve">7 . Анали</w:t>
      </w:r>
      <w:r>
        <w:t xml:space="preserve">з задолженности членов СНК и правообладателей земельных участков в границах СНТ. Правлением ведется работа по досудебному и судебному взысканию с садоводов просроченной задолженности по оплате взносов и возмещению расходов за индивидуальное потребление эле</w:t>
      </w:r>
      <w:r>
        <w:t xml:space="preserve">ктроэнергии. Были проведены мероприятия по отключению эл. энергии неплательщикам. В настоящее время идут судебные разбирательства по взысканию задолженности по оплате электроэнергии и членских взносов. Также ведется взыскание задолженности в мировых судах.</w:t>
      </w:r>
      <w:r/>
    </w:p>
    <w:p>
      <w:r>
        <w:t xml:space="preserve">8. Проверка полноты и своевременности уплаты налогов и обязательных платежей, расчетов и деклараций по налогам и сборам</w:t>
      </w:r>
      <w:r>
        <w:t xml:space="preserve"> </w:t>
      </w:r>
      <w:r>
        <w:t xml:space="preserve">подтверждена документально.</w:t>
      </w:r>
      <w:r>
        <w:t xml:space="preserve"> </w:t>
      </w:r>
      <w:r/>
    </w:p>
    <w:p>
      <w:r/>
      <w:r/>
    </w:p>
    <w:p>
      <w:r/>
      <w:r/>
    </w:p>
    <w:p>
      <w:r/>
      <w:r/>
    </w:p>
    <w:p>
      <w:r/>
      <w:r/>
    </w:p>
    <w:p>
      <w:pPr>
        <w:pStyle w:val="849"/>
      </w:pPr>
      <w:r/>
      <w:r/>
    </w:p>
    <w:p>
      <w:pPr>
        <w:pStyle w:val="849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B0809030403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28"/>
    <w:link w:val="83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28"/>
    <w:link w:val="858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28"/>
    <w:link w:val="82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28"/>
    <w:link w:val="85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28"/>
    <w:link w:val="83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816"/>
    <w:next w:val="816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6 Char"/>
    <w:basedOn w:val="828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2">
    <w:name w:val="Heading 7"/>
    <w:basedOn w:val="816"/>
    <w:next w:val="816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3">
    <w:name w:val="Heading 7 Char"/>
    <w:basedOn w:val="828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4">
    <w:name w:val="Heading 8"/>
    <w:basedOn w:val="816"/>
    <w:next w:val="816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5">
    <w:name w:val="Heading 8 Char"/>
    <w:basedOn w:val="828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6">
    <w:name w:val="Heading 9"/>
    <w:basedOn w:val="816"/>
    <w:next w:val="816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7">
    <w:name w:val="Heading 9 Char"/>
    <w:basedOn w:val="828"/>
    <w:link w:val="6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28"/>
    <w:link w:val="854"/>
    <w:uiPriority w:val="10"/>
    <w:rPr>
      <w:sz w:val="48"/>
      <w:szCs w:val="48"/>
    </w:rPr>
  </w:style>
  <w:style w:type="character" w:styleId="670">
    <w:name w:val="Subtitle Char"/>
    <w:basedOn w:val="828"/>
    <w:link w:val="852"/>
    <w:uiPriority w:val="11"/>
    <w:rPr>
      <w:sz w:val="24"/>
      <w:szCs w:val="24"/>
    </w:rPr>
  </w:style>
  <w:style w:type="paragraph" w:styleId="671">
    <w:name w:val="Quote"/>
    <w:basedOn w:val="816"/>
    <w:next w:val="816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6"/>
    <w:next w:val="816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16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28"/>
    <w:link w:val="675"/>
    <w:uiPriority w:val="99"/>
  </w:style>
  <w:style w:type="paragraph" w:styleId="677">
    <w:name w:val="Footer"/>
    <w:basedOn w:val="816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28"/>
    <w:link w:val="677"/>
    <w:uiPriority w:val="99"/>
  </w:style>
  <w:style w:type="paragraph" w:styleId="679">
    <w:name w:val="Caption"/>
    <w:basedOn w:val="816"/>
    <w:next w:val="816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828"/>
    <w:link w:val="679"/>
    <w:uiPriority w:val="35"/>
    <w:rPr>
      <w:b/>
      <w:bCs/>
      <w:color w:val="4f81bd" w:themeColor="accent1"/>
      <w:sz w:val="18"/>
      <w:szCs w:val="18"/>
    </w:rPr>
  </w:style>
  <w:style w:type="table" w:styleId="681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4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5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9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0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1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86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16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8"/>
    <w:uiPriority w:val="99"/>
    <w:unhideWhenUsed/>
    <w:rPr>
      <w:vertAlign w:val="superscript"/>
    </w:rPr>
  </w:style>
  <w:style w:type="paragraph" w:styleId="810">
    <w:name w:val="endnote text"/>
    <w:basedOn w:val="816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8"/>
    <w:uiPriority w:val="99"/>
    <w:semiHidden/>
    <w:unhideWhenUsed/>
    <w:rPr>
      <w:vertAlign w:val="superscript"/>
    </w:rPr>
  </w:style>
  <w:style w:type="paragraph" w:styleId="813">
    <w:name w:val="TOC Heading"/>
    <w:uiPriority w:val="39"/>
    <w:unhideWhenUsed/>
  </w:style>
  <w:style w:type="paragraph" w:styleId="814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5" w:default="1">
    <w:name w:val="Normal"/>
    <w:link w:val="816"/>
    <w:uiPriority w:val="0"/>
    <w:qFormat/>
  </w:style>
  <w:style w:type="character" w:styleId="816" w:default="1">
    <w:name w:val="Normal"/>
    <w:link w:val="815"/>
  </w:style>
  <w:style w:type="paragraph" w:styleId="817">
    <w:name w:val="toc 2"/>
    <w:next w:val="815"/>
    <w:link w:val="818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18">
    <w:name w:val="toc 2"/>
    <w:link w:val="817"/>
    <w:rPr>
      <w:rFonts w:ascii="XO Thames" w:hAnsi="XO Thames"/>
      <w:sz w:val="28"/>
    </w:rPr>
  </w:style>
  <w:style w:type="paragraph" w:styleId="819">
    <w:name w:val="toc 4"/>
    <w:next w:val="815"/>
    <w:link w:val="82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20">
    <w:name w:val="toc 4"/>
    <w:link w:val="819"/>
    <w:rPr>
      <w:rFonts w:ascii="XO Thames" w:hAnsi="XO Thames"/>
      <w:sz w:val="28"/>
    </w:rPr>
  </w:style>
  <w:style w:type="paragraph" w:styleId="821">
    <w:name w:val="toc 6"/>
    <w:next w:val="815"/>
    <w:link w:val="822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22">
    <w:name w:val="toc 6"/>
    <w:link w:val="821"/>
    <w:rPr>
      <w:rFonts w:ascii="XO Thames" w:hAnsi="XO Thames"/>
      <w:sz w:val="28"/>
    </w:rPr>
  </w:style>
  <w:style w:type="paragraph" w:styleId="823">
    <w:name w:val="toc 7"/>
    <w:next w:val="815"/>
    <w:link w:val="824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24">
    <w:name w:val="toc 7"/>
    <w:link w:val="823"/>
    <w:rPr>
      <w:rFonts w:ascii="XO Thames" w:hAnsi="XO Thames"/>
      <w:sz w:val="28"/>
    </w:rPr>
  </w:style>
  <w:style w:type="paragraph" w:styleId="825">
    <w:name w:val="Heading 3"/>
    <w:next w:val="815"/>
    <w:link w:val="82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26">
    <w:name w:val="Heading 3"/>
    <w:link w:val="825"/>
    <w:rPr>
      <w:rFonts w:ascii="XO Thames" w:hAnsi="XO Thames"/>
      <w:b/>
      <w:sz w:val="26"/>
    </w:rPr>
  </w:style>
  <w:style w:type="paragraph" w:styleId="827">
    <w:name w:val="Default Paragraph Font"/>
    <w:link w:val="828"/>
  </w:style>
  <w:style w:type="character" w:styleId="828">
    <w:name w:val="Default Paragraph Font"/>
    <w:link w:val="827"/>
  </w:style>
  <w:style w:type="paragraph" w:styleId="829">
    <w:name w:val="toc 3"/>
    <w:next w:val="815"/>
    <w:link w:val="8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30">
    <w:name w:val="toc 3"/>
    <w:link w:val="829"/>
    <w:rPr>
      <w:rFonts w:ascii="XO Thames" w:hAnsi="XO Thames"/>
      <w:sz w:val="28"/>
    </w:rPr>
  </w:style>
  <w:style w:type="paragraph" w:styleId="831">
    <w:name w:val="Heading 5"/>
    <w:next w:val="815"/>
    <w:link w:val="832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32">
    <w:name w:val="Heading 5"/>
    <w:link w:val="831"/>
    <w:rPr>
      <w:rFonts w:ascii="XO Thames" w:hAnsi="XO Thames"/>
      <w:b/>
      <w:sz w:val="22"/>
    </w:rPr>
  </w:style>
  <w:style w:type="paragraph" w:styleId="833">
    <w:name w:val="Heading 1"/>
    <w:next w:val="815"/>
    <w:link w:val="83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34">
    <w:name w:val="Heading 1"/>
    <w:link w:val="833"/>
    <w:rPr>
      <w:rFonts w:ascii="XO Thames" w:hAnsi="XO Thames"/>
      <w:b/>
      <w:sz w:val="32"/>
    </w:rPr>
  </w:style>
  <w:style w:type="paragraph" w:styleId="835">
    <w:name w:val="Hyperlink"/>
    <w:link w:val="836"/>
    <w:rPr>
      <w:color w:val="0000ff"/>
      <w:u w:val="single"/>
    </w:rPr>
  </w:style>
  <w:style w:type="character" w:styleId="836">
    <w:name w:val="Hyperlink"/>
    <w:link w:val="835"/>
    <w:rPr>
      <w:color w:val="0000ff"/>
      <w:u w:val="single"/>
    </w:rPr>
  </w:style>
  <w:style w:type="paragraph" w:styleId="837">
    <w:name w:val="Footnote"/>
    <w:link w:val="838"/>
    <w:pPr>
      <w:ind w:left="0" w:firstLine="851"/>
      <w:jc w:val="both"/>
    </w:pPr>
    <w:rPr>
      <w:rFonts w:ascii="XO Thames" w:hAnsi="XO Thames"/>
      <w:sz w:val="22"/>
    </w:rPr>
  </w:style>
  <w:style w:type="character" w:styleId="838">
    <w:name w:val="Footnote"/>
    <w:link w:val="837"/>
    <w:rPr>
      <w:rFonts w:ascii="XO Thames" w:hAnsi="XO Thames"/>
      <w:sz w:val="22"/>
    </w:rPr>
  </w:style>
  <w:style w:type="paragraph" w:styleId="839">
    <w:name w:val="toc 1"/>
    <w:next w:val="815"/>
    <w:link w:val="84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40">
    <w:name w:val="toc 1"/>
    <w:link w:val="839"/>
    <w:rPr>
      <w:rFonts w:ascii="XO Thames" w:hAnsi="XO Thames"/>
      <w:b/>
      <w:sz w:val="28"/>
    </w:rPr>
  </w:style>
  <w:style w:type="paragraph" w:styleId="841">
    <w:name w:val="Header and Footer"/>
    <w:link w:val="842"/>
    <w:pPr>
      <w:jc w:val="both"/>
      <w:spacing w:line="240" w:lineRule="auto"/>
    </w:pPr>
    <w:rPr>
      <w:rFonts w:ascii="XO Thames" w:hAnsi="XO Thames"/>
      <w:sz w:val="20"/>
    </w:rPr>
  </w:style>
  <w:style w:type="character" w:styleId="842">
    <w:name w:val="Header and Footer"/>
    <w:link w:val="841"/>
    <w:rPr>
      <w:rFonts w:ascii="XO Thames" w:hAnsi="XO Thames"/>
      <w:sz w:val="20"/>
    </w:rPr>
  </w:style>
  <w:style w:type="paragraph" w:styleId="843">
    <w:name w:val="toc 9"/>
    <w:next w:val="815"/>
    <w:link w:val="844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44">
    <w:name w:val="toc 9"/>
    <w:link w:val="843"/>
    <w:rPr>
      <w:rFonts w:ascii="XO Thames" w:hAnsi="XO Thames"/>
      <w:sz w:val="28"/>
    </w:rPr>
  </w:style>
  <w:style w:type="paragraph" w:styleId="845">
    <w:name w:val="toc 8"/>
    <w:next w:val="815"/>
    <w:link w:val="846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46">
    <w:name w:val="toc 8"/>
    <w:link w:val="845"/>
    <w:rPr>
      <w:rFonts w:ascii="XO Thames" w:hAnsi="XO Thames"/>
      <w:sz w:val="28"/>
    </w:rPr>
  </w:style>
  <w:style w:type="paragraph" w:styleId="847">
    <w:name w:val="toc 5"/>
    <w:next w:val="815"/>
    <w:link w:val="84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48">
    <w:name w:val="toc 5"/>
    <w:link w:val="847"/>
    <w:rPr>
      <w:rFonts w:ascii="XO Thames" w:hAnsi="XO Thames"/>
      <w:sz w:val="28"/>
    </w:rPr>
  </w:style>
  <w:style w:type="paragraph" w:styleId="849">
    <w:name w:val="List Paragraph"/>
    <w:basedOn w:val="815"/>
    <w:link w:val="850"/>
    <w:pPr>
      <w:contextualSpacing/>
      <w:ind w:left="720" w:firstLine="0"/>
    </w:pPr>
  </w:style>
  <w:style w:type="character" w:styleId="850">
    <w:name w:val="List Paragraph"/>
    <w:basedOn w:val="816"/>
    <w:link w:val="849"/>
  </w:style>
  <w:style w:type="paragraph" w:styleId="851">
    <w:name w:val="Subtitle"/>
    <w:next w:val="815"/>
    <w:link w:val="85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2">
    <w:name w:val="Subtitle"/>
    <w:link w:val="851"/>
    <w:rPr>
      <w:rFonts w:ascii="XO Thames" w:hAnsi="XO Thames"/>
      <w:i/>
      <w:sz w:val="24"/>
    </w:rPr>
  </w:style>
  <w:style w:type="paragraph" w:styleId="853">
    <w:name w:val="Title"/>
    <w:next w:val="815"/>
    <w:link w:val="85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4">
    <w:name w:val="Title"/>
    <w:link w:val="853"/>
    <w:rPr>
      <w:rFonts w:ascii="XO Thames" w:hAnsi="XO Thames"/>
      <w:b/>
      <w:caps/>
      <w:sz w:val="40"/>
    </w:rPr>
  </w:style>
  <w:style w:type="paragraph" w:styleId="855">
    <w:name w:val="Heading 4"/>
    <w:next w:val="815"/>
    <w:link w:val="85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56">
    <w:name w:val="Heading 4"/>
    <w:link w:val="855"/>
    <w:rPr>
      <w:rFonts w:ascii="XO Thames" w:hAnsi="XO Thames"/>
      <w:b/>
      <w:sz w:val="24"/>
    </w:rPr>
  </w:style>
  <w:style w:type="paragraph" w:styleId="857">
    <w:name w:val="Heading 2"/>
    <w:next w:val="815"/>
    <w:link w:val="85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58">
    <w:name w:val="Heading 2"/>
    <w:link w:val="857"/>
    <w:rPr>
      <w:rFonts w:ascii="XO Thames" w:hAnsi="XO Thames"/>
      <w:b/>
      <w:sz w:val="28"/>
    </w:rPr>
  </w:style>
  <w:style w:type="table" w:styleId="85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Юдалевич Иркутск Сергеева</cp:lastModifiedBy>
  <cp:revision>6</cp:revision>
  <dcterms:modified xsi:type="dcterms:W3CDTF">2026-06-30T03:57:54Z</dcterms:modified>
</cp:coreProperties>
</file>